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20" w:lineRule="auto"/>
        <w:jc w:val="right"/>
        <w:rPr>
          <w:b w:val="1"/>
          <w:color w:val="1d1c1d"/>
          <w:sz w:val="27"/>
          <w:szCs w:val="27"/>
        </w:rPr>
      </w:pPr>
      <w:r w:rsidDel="00000000" w:rsidR="00000000" w:rsidRPr="00000000">
        <w:rPr>
          <w:b w:val="1"/>
          <w:color w:val="1d1c1d"/>
          <w:sz w:val="27"/>
          <w:szCs w:val="27"/>
        </w:rPr>
        <w:drawing>
          <wp:inline distB="114300" distT="114300" distL="114300" distR="114300">
            <wp:extent cx="2114550" cy="390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20" w:lineRule="auto"/>
        <w:jc w:val="center"/>
        <w:rPr>
          <w:b w:val="1"/>
          <w:color w:val="1d1c1d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20" w:lineRule="auto"/>
        <w:jc w:val="center"/>
        <w:rPr>
          <w:rFonts w:ascii="Verdana" w:cs="Verdana" w:eastAsia="Verdana" w:hAnsi="Verdana"/>
          <w:b w:val="1"/>
          <w:color w:val="1d1c1d"/>
          <w:sz w:val="27"/>
          <w:szCs w:val="27"/>
        </w:rPr>
      </w:pPr>
      <w:r w:rsidDel="00000000" w:rsidR="00000000" w:rsidRPr="00000000">
        <w:rPr>
          <w:b w:val="1"/>
          <w:color w:val="1d1c1d"/>
          <w:sz w:val="27"/>
          <w:szCs w:val="27"/>
          <w:rtl w:val="0"/>
        </w:rPr>
        <w:t xml:space="preserve">Weddings in hire venues and temporary structures</w:t>
      </w:r>
      <w:r w:rsidDel="00000000" w:rsidR="00000000" w:rsidRPr="00000000">
        <w:rPr>
          <w:rFonts w:ascii="Verdana" w:cs="Verdana" w:eastAsia="Verdana" w:hAnsi="Verdana"/>
          <w:b w:val="1"/>
          <w:color w:val="1d1c1d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This process removes all concerns about weddings in marquees, village halls and other self-hire venues, being “unregulated” and therefore less Covid-secure, through appointing a suitably trained Covid event </w:t>
      </w:r>
      <w:r w:rsidDel="00000000" w:rsidR="00000000" w:rsidRPr="00000000">
        <w:rPr>
          <w:color w:val="1d1c1d"/>
          <w:rtl w:val="0"/>
        </w:rPr>
        <w:t xml:space="preserve">manager</w:t>
      </w:r>
      <w:r w:rsidDel="00000000" w:rsidR="00000000" w:rsidRPr="00000000">
        <w:rPr>
          <w:color w:val="1d1c1d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hd w:fill="ffffff" w:val="clear"/>
        <w:spacing w:after="120" w:lineRule="auto"/>
        <w:rPr>
          <w:color w:val="1d1c1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1d1c1d"/>
        </w:rPr>
      </w:pPr>
      <w:r w:rsidDel="00000000" w:rsidR="00000000" w:rsidRPr="00000000">
        <w:rPr>
          <w:b w:val="1"/>
          <w:rtl w:val="0"/>
        </w:rPr>
        <w:t xml:space="preserve">Prior to the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The couple or host (“event organiser”) will be responsible for appointing an event manager trained in Covid-safety. </w:t>
      </w:r>
    </w:p>
    <w:p w:rsidR="00000000" w:rsidDel="00000000" w:rsidP="00000000" w:rsidRDefault="00000000" w:rsidRPr="00000000" w14:paraId="00000009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The event manager will be required to be on site at all times that guests </w:t>
      </w:r>
      <w:r w:rsidDel="00000000" w:rsidR="00000000" w:rsidRPr="00000000">
        <w:rPr>
          <w:color w:val="1d1c1d"/>
          <w:rtl w:val="0"/>
        </w:rPr>
        <w:t xml:space="preserve">are present</w:t>
      </w:r>
      <w:r w:rsidDel="00000000" w:rsidR="00000000" w:rsidRPr="00000000">
        <w:rPr>
          <w:color w:val="1d1c1d"/>
          <w:rtl w:val="0"/>
        </w:rPr>
        <w:t xml:space="preserve"> and are responsible for ensuring restrictions on capacity, social distancing and activities are adhered to.</w:t>
      </w:r>
    </w:p>
    <w:p w:rsidR="00000000" w:rsidDel="00000000" w:rsidP="00000000" w:rsidRDefault="00000000" w:rsidRPr="00000000" w14:paraId="0000000A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Event managers will typically be employed, trained and insured by professional marquee, catering or wedding planning companies.</w:t>
      </w:r>
    </w:p>
    <w:p w:rsidR="00000000" w:rsidDel="00000000" w:rsidP="00000000" w:rsidRDefault="00000000" w:rsidRPr="00000000" w14:paraId="0000000B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The caterer, marquee company and anyone working at the event are responsible for ensuring there is a suitable event manager appointed, as part of their own risk assessments.</w:t>
      </w:r>
    </w:p>
    <w:p w:rsidR="00000000" w:rsidDel="00000000" w:rsidP="00000000" w:rsidRDefault="00000000" w:rsidRPr="00000000" w14:paraId="0000000C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Where applicable, risk assessments will be supplied to the Local Authority or EHO in advance.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Couples will be asked to communicate the event safety protocols to their guests before arrival. </w:t>
      </w:r>
    </w:p>
    <w:p w:rsidR="00000000" w:rsidDel="00000000" w:rsidP="00000000" w:rsidRDefault="00000000" w:rsidRPr="00000000" w14:paraId="0000000E">
      <w:pPr>
        <w:shd w:fill="ffffff" w:val="clear"/>
        <w:spacing w:after="120" w:lineRule="auto"/>
        <w:rPr>
          <w:color w:val="1d1c1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1d1c1d"/>
        </w:rPr>
      </w:pPr>
      <w:r w:rsidDel="00000000" w:rsidR="00000000" w:rsidRPr="00000000">
        <w:rPr>
          <w:b w:val="1"/>
          <w:rtl w:val="0"/>
        </w:rPr>
        <w:t xml:space="preserve">During the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The event </w:t>
      </w:r>
      <w:r w:rsidDel="00000000" w:rsidR="00000000" w:rsidRPr="00000000">
        <w:rPr>
          <w:color w:val="1d1c1d"/>
          <w:rtl w:val="0"/>
        </w:rPr>
        <w:t xml:space="preserve">organiser</w:t>
      </w:r>
      <w:r w:rsidDel="00000000" w:rsidR="00000000" w:rsidRPr="00000000">
        <w:rPr>
          <w:color w:val="1d1c1d"/>
          <w:rtl w:val="0"/>
        </w:rPr>
        <w:t xml:space="preserve"> is responsible for ensuring that applicable social distancing measures can be followed, taking traffic flow and any fixed or moveable furniture into consideration.</w:t>
      </w:r>
    </w:p>
    <w:p w:rsidR="00000000" w:rsidDel="00000000" w:rsidP="00000000" w:rsidRDefault="00000000" w:rsidRPr="00000000" w14:paraId="00000011">
      <w:pPr>
        <w:shd w:fill="ffffff" w:val="clear"/>
        <w:spacing w:after="12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The event manager will be responsible for ensuring guidance is followed including but not limited to: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Pre-event hygiene protocols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Regular cleaning protocols throughout the event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Sanitiser and/or hand washing stations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NHS (or equivalent) test and trace data collection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Rapid testing if required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Restrictions on capacity and activities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360" w:before="0" w:beforeAutospacing="0" w:lineRule="auto"/>
        <w:ind w:left="720" w:hanging="360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Social distancing</w:t>
      </w:r>
    </w:p>
    <w:p w:rsidR="00000000" w:rsidDel="00000000" w:rsidP="00000000" w:rsidRDefault="00000000" w:rsidRPr="00000000" w14:paraId="00000019">
      <w:pPr>
        <w:shd w:fill="ffffff" w:val="clear"/>
        <w:spacing w:after="360" w:before="240" w:lineRule="auto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Additional training is not required for marquee companies or caterers as marquee weddings are already taking place in commercial </w:t>
      </w:r>
      <w:r w:rsidDel="00000000" w:rsidR="00000000" w:rsidRPr="00000000">
        <w:rPr>
          <w:color w:val="1d1c1d"/>
          <w:rtl w:val="0"/>
        </w:rPr>
        <w:t xml:space="preserve">settings</w:t>
      </w:r>
      <w:r w:rsidDel="00000000" w:rsidR="00000000" w:rsidRPr="00000000">
        <w:rPr>
          <w:color w:val="1d1c1d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Support and Training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Online Covid-safety training would be given to event managers using existing approved hospitality training, ensuring a level equal to or exceeding the standards in all other Covid-safe venues.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This process, while not required by law, should enable weddings to take place safely in all settings and has been developed as “best practice” following discussion with all 3 marquee trade bodies or associations; MUTA, EHA and NOEA.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8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